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ED" w:rsidRDefault="0020608E">
      <w:pPr>
        <w:pStyle w:val="Corps"/>
      </w:pPr>
      <w:r>
        <w:t xml:space="preserve">2019 homélie 24° dimanche ordinaire (C) Ex 32, 7-11.13-14 - 1Tm 1, 12-17 - </w:t>
      </w:r>
      <w:proofErr w:type="spellStart"/>
      <w:r>
        <w:t>Lc</w:t>
      </w:r>
      <w:proofErr w:type="spellEnd"/>
      <w:r>
        <w:t xml:space="preserve"> 15, 1-32</w:t>
      </w:r>
    </w:p>
    <w:p w:rsidR="000701ED" w:rsidRDefault="000701ED">
      <w:pPr>
        <w:pStyle w:val="Corps"/>
        <w:jc w:val="center"/>
        <w:rPr>
          <w:i/>
          <w:iCs/>
          <w:sz w:val="20"/>
          <w:szCs w:val="20"/>
          <w:u w:val="single"/>
        </w:rPr>
      </w:pPr>
    </w:p>
    <w:p w:rsidR="000701ED" w:rsidRDefault="0020608E">
      <w:pPr>
        <w:pStyle w:val="Corps"/>
        <w:jc w:val="center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val="it-IT"/>
        </w:rPr>
        <w:t>St Germain</w:t>
      </w:r>
      <w:r>
        <w:rPr>
          <w:i/>
          <w:iCs/>
          <w:sz w:val="20"/>
          <w:szCs w:val="20"/>
          <w:u w:val="single"/>
        </w:rPr>
        <w:t xml:space="preserve"> Mouvaux dimanche 11h :  Rentrée paroissiale</w:t>
      </w:r>
    </w:p>
    <w:p w:rsidR="000701ED" w:rsidRDefault="000701ED">
      <w:pPr>
        <w:pStyle w:val="Corps"/>
        <w:rPr>
          <w:i/>
          <w:iCs/>
          <w:u w:val="single"/>
        </w:rPr>
      </w:pPr>
    </w:p>
    <w:p w:rsidR="000701ED" w:rsidRDefault="0020608E">
      <w:pPr>
        <w:pStyle w:val="Pardfaut"/>
        <w:jc w:val="both"/>
        <w:rPr>
          <w:rStyle w:val="Aucun"/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La liturgie de ce dimanche manifeste la tendresse et le pardon de Dieu et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est le psaume 50 qui nous en donne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la cl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Donne-nous,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ô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P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re, la joie du pardon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Le ciel de J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sus n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est pas le ciel des comptables de la Loi pour les purs et pour les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parfaits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, mais le ciel de p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cheurs convertis et pardonn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s.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 trois paraboles de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vangile sont la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ponse de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aux pharisiens et aux scribes qui se plaignent que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mange avec les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cheurs et ils ne sont pas satisfaits du Dieu 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 leur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sente. Ils pensent que les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bons pratiquants</w:t>
      </w:r>
      <w:r>
        <w:rPr>
          <w:rFonts w:ascii="Times New Roman" w:hAnsi="Times New Roman"/>
          <w:sz w:val="28"/>
          <w:szCs w:val="28"/>
        </w:rPr>
        <w:t xml:space="preserve"> » </w:t>
      </w:r>
      <w:r>
        <w:rPr>
          <w:rFonts w:ascii="Times New Roman" w:hAnsi="Times New Roman"/>
          <w:sz w:val="28"/>
          <w:szCs w:val="28"/>
        </w:rPr>
        <w:t>doivent se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parer non seulement du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mais aussi du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cheur. Ils pr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chent la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gation alors que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pr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accueil. Partager un repas est un signe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gration et cela cr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 du lien. Les paraboles sur la mis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ricorde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voque</w:t>
      </w:r>
      <w:r w:rsidR="008241CA">
        <w:rPr>
          <w:rFonts w:ascii="Times New Roman" w:hAnsi="Times New Roman"/>
          <w:sz w:val="28"/>
          <w:szCs w:val="28"/>
        </w:rPr>
        <w:t>nt</w:t>
      </w:r>
      <w:r>
        <w:rPr>
          <w:rFonts w:ascii="Times New Roman" w:hAnsi="Times New Roman"/>
          <w:sz w:val="28"/>
          <w:szCs w:val="28"/>
        </w:rPr>
        <w:t xml:space="preserve"> donc une nouvelle fa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on de comprendre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 de Dieu.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Dieu est sans cesse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notre recherche,</w:t>
      </w:r>
      <w:r>
        <w:rPr>
          <w:rFonts w:ascii="Times New Roman" w:hAnsi="Times New Roman"/>
          <w:sz w:val="28"/>
          <w:szCs w:val="28"/>
        </w:rPr>
        <w:t xml:space="preserve"> comme le berger qui s'inqui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te pour sa brebis, ou la pauvre femme qui a perdu ses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conomies, ou le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de famille qui va sans cesse voir sur le chemin si son fils revient. Les premiers chr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tiens,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merveill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de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couvrir cela, ont souvent reproduit l'ima</w:t>
      </w:r>
      <w:r>
        <w:rPr>
          <w:rFonts w:ascii="Times New Roman" w:hAnsi="Times New Roman"/>
          <w:sz w:val="28"/>
          <w:szCs w:val="28"/>
        </w:rPr>
        <w:t xml:space="preserve">ge du Bon Pasteur dans les catacombes : un jeune berger tout heureux de porter sur ses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paules la brebis retrouv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e. Ces images signifient que personne n'est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finitivement perdu, Dieu ne cesse de nous chercher.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parabole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enfant prodigue est connue.</w:t>
      </w:r>
      <w:r>
        <w:rPr>
          <w:rFonts w:ascii="Times New Roman" w:hAnsi="Times New Roman"/>
          <w:sz w:val="28"/>
          <w:szCs w:val="28"/>
        </w:rPr>
        <w:t xml:space="preserve"> Le fils le plus jeune demande sa part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ritage pendant que le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est toujours en vie. Souhaiterait-il la mort de son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?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En tout cas il se coupe de l'histoire de la famille. Parti de la maison il fait les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400 coups</w:t>
      </w:r>
      <w:r>
        <w:rPr>
          <w:rFonts w:ascii="Times New Roman" w:hAnsi="Times New Roman"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>. Mais le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>ur du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oublie pas ce fils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gar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 A son retour le p</w:t>
      </w:r>
      <w:r>
        <w:rPr>
          <w:rFonts w:ascii="Times New Roman" w:hAnsi="Times New Roman"/>
          <w:sz w:val="28"/>
          <w:szCs w:val="28"/>
        </w:rPr>
        <w:t>è</w:t>
      </w:r>
      <w:r w:rsidR="008241CA">
        <w:rPr>
          <w:rFonts w:ascii="Times New Roman" w:hAnsi="Times New Roman"/>
          <w:sz w:val="28"/>
          <w:szCs w:val="28"/>
        </w:rPr>
        <w:t>re court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sa rencontre sans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lui permettre de terminer ses aveux.</w:t>
      </w:r>
      <w:r>
        <w:rPr>
          <w:rFonts w:ascii="Times New Roman" w:hAnsi="Times New Roman"/>
          <w:sz w:val="28"/>
          <w:szCs w:val="28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C'est g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nial l'amour de ce 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Il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tablit la relation filiale avec son fils perdu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Celui-ci est mon fils qui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tait mort et il est reve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nu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la vie; il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tait perdu et il est retrouv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 »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Celui qui avait claqu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la porte et avait cru trouver le bonheur loin du foyer paternel ne s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attendait s</w:t>
      </w:r>
      <w:r>
        <w:rPr>
          <w:rFonts w:ascii="Times New Roman" w:hAnsi="Times New Roman"/>
          <w:sz w:val="28"/>
          <w:szCs w:val="28"/>
        </w:rPr>
        <w:t>û</w:t>
      </w:r>
      <w:r>
        <w:rPr>
          <w:rFonts w:ascii="Times New Roman" w:hAnsi="Times New Roman"/>
          <w:sz w:val="28"/>
          <w:szCs w:val="28"/>
        </w:rPr>
        <w:t xml:space="preserve">rement pas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un tel accueil ! </w:t>
      </w:r>
      <w:r>
        <w:rPr>
          <w:rFonts w:ascii="Times New Roman" w:hAnsi="Times New Roman"/>
          <w:sz w:val="28"/>
          <w:szCs w:val="28"/>
        </w:rPr>
        <w:t> 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Quant au fr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a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lorsqu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il revient des champs et entend la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musique, il refuse de rencontrer son fr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et de se joindre au festin. Il humilie publiquement son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re, en 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accusant 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injustice et de faiblesse.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e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fr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it-IT"/>
        </w:rPr>
        <w:t>re a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est perdu lui aussi.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De nouveau, le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traite ce fils perdu avec tendresse et humilit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La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diff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rence entre les deux fils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est leur fa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on de r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agir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la bont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du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Ce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s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int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resse moins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la culpabilit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de ses fils qu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’à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leur retour dans la famille et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la joie 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’ê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tre aim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701ED" w:rsidRDefault="0020608E">
      <w:pPr>
        <w:pStyle w:val="Pardfaut"/>
        <w:jc w:val="both"/>
        <w:rPr>
          <w:rStyle w:val="Aucun"/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Ce qui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tonne dans cette parabole c'est l'opposition entre le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rejet du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par les deux fils et la joie 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bordante de la conversion. Nous avons 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une image du Royaume de Dieu beaucoup plus s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duisante que celle d'une froide constatation de nos vertus et de nos m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rites. Dieu est pour nous un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et il nous offre co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ntinuellement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un nouveau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part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Nous ne pouvons pas changer le pass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, mais nous pouvons toujours devenir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nouveau des fils ou des filles de Dieu.</w:t>
      </w:r>
      <w:r>
        <w:rPr>
          <w:rStyle w:val="Aucun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Les trois paraboles de 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vangile disent la gratuit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du pardon, la tendresse de Dieu, son amour incond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itionnel et la joie lorsque 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rance est combl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e. 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sus invite les critiques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changer leur attitude,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tendre la main aux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cheurs et cela ressemble plus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Dieu que se tenir loin d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eux :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Dieu ne veut pas la mort du p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cheur, mais qu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il se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convertisse et qu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il vive </w:t>
      </w:r>
      <w:r>
        <w:rPr>
          <w:rStyle w:val="Aucun"/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33, 11). Dieu est donc un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re qui se r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jouit lorsqu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un p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cheur est sauv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et Il le restaure dans sa dignit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de fils ou de fille de Dieu.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Ces textes nous obligent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nous demander si nos communaut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sont accueillantes aux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cheurs. Si nous comprenons la justice de Dieu, si nous accueillons les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cheurs comme ceux qui, comme nous, ne sont pas dignes de la faveur de Dieu et qui se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jouissent quand, comme nous, ils font l'exp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rience de sa bont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</w:t>
      </w:r>
    </w:p>
    <w:p w:rsidR="000701ED" w:rsidRDefault="000701ED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01ED" w:rsidRDefault="0020608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L'Eglise et les communaut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chr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tiennes doivent 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tre, par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finition, joyeuses parce que nous avons tous conscience d'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 cherch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par Dieu et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en partie retrouv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s.</w:t>
      </w: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  <w:rPr>
          <w:rFonts w:ascii="Tahoma" w:eastAsia="Tahoma" w:hAnsi="Tahoma" w:cs="Tahoma"/>
          <w:sz w:val="27"/>
          <w:szCs w:val="27"/>
        </w:rPr>
      </w:pPr>
    </w:p>
    <w:p w:rsidR="000701ED" w:rsidRDefault="000701ED">
      <w:pPr>
        <w:pStyle w:val="Pardfaut"/>
        <w:jc w:val="both"/>
      </w:pPr>
    </w:p>
    <w:sectPr w:rsidR="000701ED" w:rsidSect="000701E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8E" w:rsidRDefault="0020608E" w:rsidP="000701ED">
      <w:r>
        <w:separator/>
      </w:r>
    </w:p>
  </w:endnote>
  <w:endnote w:type="continuationSeparator" w:id="0">
    <w:p w:rsidR="0020608E" w:rsidRDefault="0020608E" w:rsidP="0007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ED" w:rsidRDefault="000701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8E" w:rsidRDefault="0020608E" w:rsidP="000701ED">
      <w:r>
        <w:separator/>
      </w:r>
    </w:p>
  </w:footnote>
  <w:footnote w:type="continuationSeparator" w:id="0">
    <w:p w:rsidR="0020608E" w:rsidRDefault="0020608E" w:rsidP="00070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ED" w:rsidRDefault="000701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701ED"/>
    <w:rsid w:val="000701ED"/>
    <w:rsid w:val="0020608E"/>
    <w:rsid w:val="008241CA"/>
    <w:rsid w:val="00A7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1E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01ED"/>
    <w:rPr>
      <w:u w:val="single"/>
    </w:rPr>
  </w:style>
  <w:style w:type="table" w:customStyle="1" w:styleId="TableNormal">
    <w:name w:val="Table Normal"/>
    <w:rsid w:val="00070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701ED"/>
    <w:rPr>
      <w:rFonts w:ascii="Helvetica Neue" w:hAnsi="Helvetica Neue" w:cs="Arial Unicode MS"/>
      <w:color w:val="000000"/>
      <w:sz w:val="22"/>
      <w:szCs w:val="22"/>
    </w:rPr>
  </w:style>
  <w:style w:type="paragraph" w:customStyle="1" w:styleId="Pardfaut">
    <w:name w:val="Par défaut"/>
    <w:rsid w:val="000701ED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0701ED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2019-09-23T09:47:00Z</dcterms:created>
  <dcterms:modified xsi:type="dcterms:W3CDTF">2019-09-23T09:59:00Z</dcterms:modified>
</cp:coreProperties>
</file>